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left="0" w:right="0" w:firstLine="0"/>
        <w:jc w:val="center"/>
        <w:tabs>
          <w:tab w:val="left" w:pos="2055" w:leader="none"/>
        </w:tabs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Уважаемый руководитель!</w:t>
      </w:r>
      <w:r/>
    </w:p>
    <w:p>
      <w:pPr>
        <w:pStyle w:val="641"/>
        <w:ind w:left="0" w:right="0" w:firstLine="0"/>
        <w:jc w:val="center"/>
        <w:tabs>
          <w:tab w:val="left" w:pos="2055" w:leader="none"/>
        </w:tabs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</w:r>
      <w:r>
        <w:rPr>
          <w:rFonts w:ascii="Times New Roman CYR" w:hAnsi="Times New Roman CYR" w:cs="Times New Roman CYR"/>
          <w:bCs/>
          <w:sz w:val="26"/>
          <w:szCs w:val="26"/>
        </w:rPr>
      </w:r>
    </w:p>
    <w:p>
      <w:pPr>
        <w:pStyle w:val="641"/>
        <w:contextualSpacing/>
        <w:spacing w:before="0" w:after="0"/>
      </w:pPr>
      <w:r>
        <w:rPr>
          <w:sz w:val="26"/>
          <w:szCs w:val="26"/>
        </w:rPr>
        <w:t xml:space="preserve">Территориальный орган Федеральной службы государственной статистики по Луганской Народной Республике сообщает, что форма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№ 2-наука (краткая) </w:t>
      </w:r>
      <w:r>
        <w:rPr>
          <w:sz w:val="26"/>
          <w:szCs w:val="26"/>
        </w:rPr>
        <w:t xml:space="preserve">(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квартальная</w:t>
      </w:r>
      <w:r>
        <w:rPr>
          <w:sz w:val="26"/>
          <w:szCs w:val="26"/>
        </w:rPr>
        <w:t xml:space="preserve">) «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Сведения о выполнении научных исследований и разработок</w:t>
      </w:r>
      <w:r>
        <w:rPr>
          <w:sz w:val="26"/>
          <w:szCs w:val="26"/>
        </w:rPr>
        <w:t xml:space="preserve">» предоставляется  на бланках, утвержденных приказом Росстата от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29.07.2022 </w:t>
      </w:r>
      <w:r>
        <w:rPr>
          <w:sz w:val="26"/>
          <w:szCs w:val="26"/>
        </w:rPr>
        <w:t xml:space="preserve">г. №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538 (с изменениями от 11.01.2024 № 3).</w:t>
      </w:r>
      <w:r>
        <w:rPr>
          <w:sz w:val="26"/>
          <w:szCs w:val="26"/>
        </w:rPr>
        <w:t xml:space="preserve"> </w:t>
      </w:r>
      <w:r/>
    </w:p>
    <w:p>
      <w:pPr>
        <w:pStyle w:val="641"/>
        <w:contextualSpacing/>
        <w:spacing w:before="0"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Первичные статистические данные (далее – данные) по форме федерального статистического наблюдения № 2-наука (краткая) «Сведения о выполнении научных исследований и разработок» (далее – форма) предоставляют юридичес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кие лица (кроме субъектов малого предпринимательства) выполняющие в отчетном периоде научные исследования и разработки, и имеющие вид экономической деятельности в соответствии с Общероссийским классификатором видов экономической деятельности (ОКВЭД2 ОК 029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-2014 (КДЕС Ред. 2), утвержденным приказом Федерального агентства по техническому регулированию и метрологии от 31 января 2014 г. № 14-ст, научные исследования и разработки (код 72) (основной или дополнительный); образование высшее (код 85.22); подготовка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кадров высшей квалификации (код 85.23); других видов экономической деятельности, получившие субсидии (гранты) на выполнение научных исследований и разработок; а также по перечню, установленному Министерством науки и высшего образования Российской Федерации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</w:t>
      </w:r>
      <w:r>
        <w:rPr>
          <w:rFonts w:eastAsia="Times New Roman" w:cs="Times New Roman"/>
          <w:b/>
          <w:color w:val="auto"/>
          <w:sz w:val="26"/>
          <w:szCs w:val="26"/>
          <w:lang w:val="ru-RU" w:eastAsia="zh-CN" w:bidi="ar-SA"/>
        </w:rPr>
        <w:t xml:space="preserve">1-го рабочего дня по 20-е число месяца после отчетного периода.</w:t>
      </w:r>
      <w:r/>
    </w:p>
    <w:p>
      <w:pPr>
        <w:pStyle w:val="641"/>
        <w:contextualSpacing/>
        <w:spacing w:before="0" w:after="0"/>
      </w:pPr>
      <w:r>
        <w:rPr>
          <w:rFonts w:eastAsia="Times New Roman" w:cs="Times New Roman"/>
          <w:b w:val="0"/>
          <w:bCs w:val="0"/>
          <w:color w:val="auto"/>
          <w:spacing w:val="-6"/>
          <w:sz w:val="26"/>
          <w:szCs w:val="26"/>
          <w:lang w:val="ru-RU" w:eastAsia="zh-CN" w:bidi="ar-SA"/>
        </w:rPr>
        <w:t xml:space="preserve">Бланк формы  с указаниями по заполнению размещен на Интернет-портале Луганскстата (http://81.</w:t>
      </w:r>
      <w:r>
        <w:rPr>
          <w:rFonts w:eastAsia="Times New Roman" w:cs="Times New Roman"/>
          <w:b w:val="0"/>
          <w:bCs w:val="0"/>
          <w:color w:val="auto"/>
          <w:spacing w:val="-6"/>
          <w:sz w:val="26"/>
          <w:szCs w:val="26"/>
          <w:lang w:val="en-US" w:eastAsia="zh-CN" w:bidi="ar-SA"/>
        </w:rPr>
        <w:t xml:space="preserve">rosstat</w:t>
      </w:r>
      <w:r>
        <w:rPr>
          <w:rFonts w:eastAsia="Times New Roman" w:cs="Times New Roman"/>
          <w:b w:val="0"/>
          <w:bCs w:val="0"/>
          <w:color w:val="auto"/>
          <w:spacing w:val="-6"/>
          <w:sz w:val="26"/>
          <w:szCs w:val="26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bCs w:val="0"/>
          <w:color w:val="auto"/>
          <w:spacing w:val="-6"/>
          <w:sz w:val="26"/>
          <w:szCs w:val="26"/>
          <w:lang w:val="en-US" w:eastAsia="zh-CN" w:bidi="ar-SA"/>
        </w:rPr>
        <w:t xml:space="preserve">gov</w:t>
      </w:r>
      <w:r>
        <w:rPr>
          <w:rFonts w:eastAsia="Times New Roman" w:cs="Times New Roman"/>
          <w:b w:val="0"/>
          <w:bCs w:val="0"/>
          <w:color w:val="auto"/>
          <w:spacing w:val="-6"/>
          <w:sz w:val="26"/>
          <w:szCs w:val="26"/>
          <w:lang w:val="ru-RU" w:eastAsia="zh-CN" w:bidi="ar-SA"/>
        </w:rPr>
        <w:t xml:space="preserve">.ru) в разделе Респондентам /  Формы федерального статистического наблюдения / Альбом форм федерального статистического наблюдения.</w:t>
      </w:r>
      <w:r/>
    </w:p>
    <w:p>
      <w:pPr>
        <w:pStyle w:val="641"/>
        <w:contextualSpacing/>
        <w:spacing w:before="0" w:after="0"/>
      </w:pP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На сайте Луганскстата </w:t>
      </w:r>
      <w:r>
        <w:rPr>
          <w:spacing w:val="-6"/>
          <w:sz w:val="26"/>
          <w:szCs w:val="26"/>
        </w:rPr>
        <w:t xml:space="preserve">http://81.</w:t>
      </w:r>
      <w:r>
        <w:rPr>
          <w:spacing w:val="-6"/>
          <w:sz w:val="26"/>
          <w:szCs w:val="26"/>
          <w:lang w:val="en-US"/>
        </w:rPr>
        <w:t xml:space="preserve">rosstat</w:t>
      </w:r>
      <w:r>
        <w:rPr>
          <w:spacing w:val="-6"/>
          <w:sz w:val="26"/>
          <w:szCs w:val="26"/>
        </w:rPr>
        <w:t xml:space="preserve">.</w:t>
      </w:r>
      <w:r>
        <w:rPr>
          <w:spacing w:val="-6"/>
          <w:sz w:val="26"/>
          <w:szCs w:val="26"/>
          <w:lang w:val="en-US"/>
        </w:rPr>
        <w:t xml:space="preserve">gov</w:t>
      </w:r>
      <w:r>
        <w:rPr>
          <w:spacing w:val="-6"/>
          <w:sz w:val="26"/>
          <w:szCs w:val="26"/>
        </w:rPr>
        <w:t xml:space="preserve">.ru реализован сервис «Респондентам /  Формы федерального статистического наблюдения и формы бухгалтерской (финансовой) отчетности / 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Индивидуальный перечень форм по ИНН / ОГРН (ОГРГИП) / ОКПО», позволяющий предприятиям и организациям получить пер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е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ч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е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нь форм федерального статистического наблюдения, необходимый для представ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л</w:t>
      </w:r>
      <w:r>
        <w:rPr>
          <w:rFonts w:eastAsia="Times New Roman" w:cs="Times New Roman"/>
          <w:color w:val="auto"/>
          <w:spacing w:val="-6"/>
          <w:sz w:val="26"/>
          <w:szCs w:val="26"/>
          <w:lang w:val="ru-RU" w:eastAsia="zh-CN" w:bidi="ar-SA"/>
        </w:rPr>
        <w:t xml:space="preserve">ения в Луганскстат.</w:t>
      </w:r>
      <w:r/>
    </w:p>
    <w:p>
      <w:pPr>
        <w:pStyle w:val="647"/>
        <w:contextualSpacing/>
        <w:spacing w:before="0" w:after="0"/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В случае отсутствия наблюдаемого явления (выполнения научных исследований и разработок) в отчетном периоде предоставляется подписанный в установленном порядке отчет по форме, не</w:t>
      </w:r>
      <w:r>
        <w:rPr>
          <w:color w:val="000000"/>
          <w:spacing w:val="-6"/>
          <w:sz w:val="26"/>
          <w:szCs w:val="26"/>
        </w:rPr>
        <w:t xml:space="preserve"> 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заполненный значениями показателей («пустой» отчет по форме).</w:t>
      </w:r>
      <w:r>
        <w:rPr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 </w:t>
      </w:r>
      <w:r/>
    </w:p>
    <w:p>
      <w:pPr>
        <w:pStyle w:val="647"/>
        <w:contextualSpacing/>
        <w:spacing w:before="0" w:after="0"/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При нал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ичии у юридического лица обособленных подразделений форма заполняется как по каждому обособленному подразделению (за исключением осуществляющих деятельность за пределами Российской Федерации), так и по юридическому лицу без этих обособленных подразделений.</w:t>
      </w:r>
      <w:r/>
    </w:p>
    <w:p>
      <w:pPr>
        <w:pStyle w:val="641"/>
        <w:contextualSpacing/>
        <w:spacing w:before="0" w:after="0"/>
      </w:pPr>
      <w:r>
        <w:rPr>
          <w:sz w:val="26"/>
          <w:szCs w:val="26"/>
        </w:rPr>
        <w:t xml:space="preserve">Данные приводятся только в тех единицах измерения, которые указаны в форме.</w:t>
      </w:r>
      <w:r/>
    </w:p>
    <w:p>
      <w:pPr>
        <w:pStyle w:val="641"/>
        <w:contextualSpacing/>
        <w:spacing w:before="0" w:after="0"/>
      </w:pPr>
      <w:r>
        <w:rPr>
          <w:sz w:val="26"/>
          <w:szCs w:val="26"/>
        </w:rPr>
        <w:t xml:space="preserve">При составлении отчёта следует руководствоваться указаниями по заполнению формы федерального статистического наблюдения, приведёнными на бланке.</w:t>
      </w:r>
      <w:r/>
    </w:p>
    <w:p>
      <w:pPr>
        <w:pStyle w:val="641"/>
        <w:contextualSpacing/>
        <w:spacing w:before="0"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Разделе 1 приводятся данные о затратах на выполнение научных исследований и разработок (по себестоимости, без НДС, акцизов и аналогичны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платежей), амортизационных отчислениях на основные фонды и среднесписочной численности работников, выполнявших научные исследования и разработки (без совместителей и лиц, выполнявших работу по договорам гражданско-правового характера) за отчетный период.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Данные о затратах на выполнени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научных исследований и разработок в отчетном периоде приводятся независимо от источников происхождения средств, в том числе на инициативные проекты. В состав затрат не включается сумма амортизационных отчислений на полное восстановление основных фондов. </w:t>
      </w:r>
      <w:r/>
    </w:p>
    <w:p>
      <w:pPr>
        <w:pStyle w:val="641"/>
        <w:contextualSpacing/>
        <w:spacing w:before="0"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строкам 101</w:t>
      </w:r>
      <w:r>
        <w:rPr>
          <w:rFonts w:ascii="Symbol" w:hAnsi="Symbol" w:cs="Symbol"/>
          <w:color w:val="000000"/>
          <w:sz w:val="26"/>
          <w:szCs w:val="26"/>
        </w:rPr>
        <w:t xml:space="preserve"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107 приводятся данные по затратам на исследования и разработки за период с начала отчетного года. </w:t>
      </w:r>
      <w:r/>
    </w:p>
    <w:p>
      <w:pPr>
        <w:pStyle w:val="641"/>
        <w:contextualSpacing/>
        <w:spacing w:before="0" w:after="0"/>
      </w:pPr>
      <w:r>
        <w:rPr>
          <w:sz w:val="26"/>
          <w:szCs w:val="26"/>
        </w:rPr>
        <w:t xml:space="preserve">В настоящее время Луганскстат осуществляет прием статистической отчетности в электронном  и бумажном виде (с</w:t>
      </w:r>
      <w:r>
        <w:rPr>
          <w:rFonts w:eastAsia="Verdana"/>
          <w:bCs/>
          <w:color w:val="000000"/>
          <w:sz w:val="26"/>
          <w:szCs w:val="26"/>
        </w:rPr>
        <w:t xml:space="preserve">ведения по форме направлять по адресу: 291001, г. Луганск, ул. Луначарского, д.91 или в районные представительства Луганскстата). </w:t>
      </w:r>
      <w:r>
        <w:rPr>
          <w:sz w:val="26"/>
          <w:szCs w:val="26"/>
        </w:rPr>
        <w:t xml:space="preserve">Существует несколько способов электронной передачи. Вы вправе выбрать один из наиболее подходящих для Вас вариантов:</w:t>
      </w:r>
      <w:r/>
    </w:p>
    <w:p>
      <w:pPr>
        <w:pStyle w:val="641"/>
        <w:contextualSpacing/>
        <w:spacing w:before="0" w:after="0" w:line="276" w:lineRule="auto"/>
      </w:pPr>
      <w:r>
        <w:rPr>
          <w:rFonts w:eastAsia="Verdana"/>
          <w:bCs/>
          <w:color w:val="000000"/>
          <w:sz w:val="26"/>
          <w:szCs w:val="26"/>
        </w:rPr>
        <w:t xml:space="preserve">1.  Через специализированного оператора связи (при наличии электронной цифровой подписи – ЭЦП).</w:t>
      </w:r>
      <w:r/>
    </w:p>
    <w:p>
      <w:pPr>
        <w:pStyle w:val="641"/>
        <w:contextualSpacing/>
        <w:spacing w:before="0" w:after="0" w:line="276" w:lineRule="auto"/>
      </w:pPr>
      <w:r>
        <w:rPr>
          <w:rFonts w:eastAsia="Verdana"/>
          <w:bCs/>
          <w:color w:val="000000"/>
          <w:sz w:val="26"/>
          <w:szCs w:val="26"/>
        </w:rPr>
        <w:t xml:space="preserve">2.  Через систему Web-сбора (режим on-line или off-line).</w:t>
      </w:r>
      <w:r/>
    </w:p>
    <w:p>
      <w:pPr>
        <w:pStyle w:val="641"/>
        <w:contextualSpacing/>
        <w:ind w:left="0" w:right="0" w:firstLine="708"/>
        <w:spacing w:before="0" w:after="0"/>
      </w:pPr>
      <w:r>
        <w:rPr>
          <w:color w:val="000000"/>
          <w:sz w:val="26"/>
          <w:szCs w:val="26"/>
        </w:rPr>
        <w:t xml:space="preserve">Более подробно с технологией ввода, контроля и предоставления форм статистической отчетности в электронном виде следует ознакомиться на Интернет-портале Луганскстата (</w:t>
      </w:r>
      <w:r>
        <w:rPr>
          <w:spacing w:val="-6"/>
          <w:sz w:val="26"/>
          <w:szCs w:val="26"/>
        </w:rPr>
        <w:t xml:space="preserve">http://81.</w:t>
      </w:r>
      <w:r>
        <w:rPr>
          <w:spacing w:val="-6"/>
          <w:sz w:val="26"/>
          <w:szCs w:val="26"/>
          <w:lang w:val="en-US"/>
        </w:rPr>
        <w:t xml:space="preserve">rosstat</w:t>
      </w:r>
      <w:r>
        <w:rPr>
          <w:spacing w:val="-6"/>
          <w:sz w:val="26"/>
          <w:szCs w:val="26"/>
        </w:rPr>
        <w:t xml:space="preserve">.</w:t>
      </w:r>
      <w:r>
        <w:rPr>
          <w:spacing w:val="-6"/>
          <w:sz w:val="26"/>
          <w:szCs w:val="26"/>
          <w:lang w:val="en-US"/>
        </w:rPr>
        <w:t xml:space="preserve">gov</w:t>
      </w:r>
      <w:r>
        <w:rPr>
          <w:spacing w:val="-6"/>
          <w:sz w:val="26"/>
          <w:szCs w:val="26"/>
        </w:rPr>
        <w:t xml:space="preserve">.ru</w:t>
      </w:r>
      <w:r>
        <w:rPr>
          <w:color w:val="000000"/>
          <w:sz w:val="26"/>
          <w:szCs w:val="26"/>
        </w:rPr>
        <w:t xml:space="preserve">) в разделе Респондентам/ Статистическая отчетность в электронном виде, где представлена информация о сборе отчетности в электронном виде, размещено ПО (программное обеспечение) для подготовки отчетов, имеется возможность получать консультации.</w:t>
      </w:r>
      <w:r/>
    </w:p>
    <w:p>
      <w:pPr>
        <w:pStyle w:val="641"/>
        <w:contextualSpacing/>
        <w:spacing w:before="0" w:after="0"/>
      </w:pPr>
      <w:r>
        <w:rPr>
          <w:color w:val="000000"/>
          <w:sz w:val="26"/>
          <w:szCs w:val="26"/>
        </w:rPr>
        <w:t xml:space="preserve">По вопросам технической поддержки обращаться по телефону 58-49-87 – </w:t>
        <w:br w:type="textWrapping" w:clear="all"/>
        <w:t xml:space="preserve">Отдел информационных ресурсов и технологий.</w:t>
      </w:r>
      <w:r/>
    </w:p>
    <w:p>
      <w:pPr>
        <w:pStyle w:val="641"/>
        <w:contextualSpacing/>
        <w:spacing w:before="0" w:after="0"/>
      </w:pPr>
      <w:r>
        <w:rPr>
          <w:sz w:val="26"/>
          <w:szCs w:val="26"/>
        </w:rPr>
        <w:t xml:space="preserve">Убедительная просьба представлять отчёт своевременно и качественно.</w:t>
      </w:r>
      <w:r/>
    </w:p>
    <w:p>
      <w:pPr>
        <w:pStyle w:val="641"/>
        <w:contextualSpacing/>
        <w:jc w:val="both"/>
        <w:spacing w:before="0" w:after="0"/>
      </w:pPr>
      <w:r>
        <w:rPr>
          <w:color w:val="000000"/>
          <w:sz w:val="26"/>
          <w:szCs w:val="26"/>
        </w:rPr>
        <w:t xml:space="preserve">Напом</w:t>
      </w:r>
      <w:r>
        <w:rPr>
          <w:color w:val="000000"/>
          <w:sz w:val="26"/>
          <w:szCs w:val="26"/>
        </w:rPr>
        <w:t xml:space="preserve">инаем, что 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РФ об  административных правонарушениях от 30.12.2001г. №195-ФЗ </w:t>
      </w:r>
      <w:r>
        <w:rPr>
          <w:iCs/>
          <w:sz w:val="26"/>
          <w:szCs w:val="26"/>
        </w:rPr>
        <w:t xml:space="preserve">и изменениям к ней от 30.12.2015г. №442-ФЗ. </w:t>
      </w:r>
      <w:r/>
    </w:p>
    <w:p>
      <w:pPr>
        <w:pStyle w:val="641"/>
        <w:contextualSpacing/>
        <w:spacing w:before="0" w:after="0"/>
      </w:pPr>
      <w:r>
        <w:rPr>
          <w:rFonts w:eastAsia="Times New Roman" w:cs="Times New Roman"/>
          <w:b/>
          <w:bCs/>
          <w:iCs/>
          <w:color w:val="auto"/>
          <w:sz w:val="26"/>
          <w:szCs w:val="26"/>
          <w:lang w:val="ru-RU" w:eastAsia="zh-CN" w:bidi="ar-SA"/>
        </w:rPr>
        <w:t xml:space="preserve">Луганскстат гарантирует конфиденциальность полученных первичных статистических данных в соответствии с законодательством Российской Федерации.</w:t>
      </w:r>
      <w:r/>
    </w:p>
    <w:p>
      <w:pPr>
        <w:pStyle w:val="641"/>
        <w:contextualSpacing/>
        <w:spacing w:before="0" w:after="0"/>
      </w:pPr>
      <w:r>
        <w:rPr>
          <w:rFonts w:eastAsia="Times New Roman" w:cs="Times New Roman"/>
          <w:b w:val="0"/>
          <w:bCs w:val="0"/>
          <w:iCs/>
          <w:color w:val="auto"/>
          <w:sz w:val="26"/>
          <w:szCs w:val="26"/>
          <w:lang w:val="ru-RU" w:eastAsia="zh-CN" w:bidi="ar-SA"/>
        </w:rPr>
        <w:t xml:space="preserve">Консультации по заполнению формы можно получить по телефону 58-58-98 в отделе статистики уровня жизни и обследований домашних хозяйств Луганскстата.</w:t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/>
    </w:p>
    <w:p>
      <w:pPr>
        <w:pStyle w:val="641"/>
        <w:ind w:left="0" w:right="0" w:firstLine="0"/>
        <w:spacing w:line="360" w:lineRule="auto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</w:r>
      <w:r>
        <w:rPr>
          <w:b/>
          <w:bCs/>
          <w:iCs/>
          <w:sz w:val="26"/>
          <w:szCs w:val="26"/>
        </w:rPr>
      </w:r>
    </w:p>
    <w:p>
      <w:pPr>
        <w:pStyle w:val="641"/>
        <w:spacing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</w:r>
      <w:r>
        <w:rPr>
          <w:iCs/>
          <w:sz w:val="26"/>
          <w:szCs w:val="26"/>
        </w:rPr>
      </w:r>
    </w:p>
    <w:p>
      <w:pPr>
        <w:pStyle w:val="641"/>
        <w:spacing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</w:r>
      <w:r>
        <w:rPr>
          <w:iCs/>
          <w:sz w:val="26"/>
          <w:szCs w:val="26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624" w:bottom="1134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Times New Roman CYR">
    <w:panose1 w:val="02000603000000000000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654"/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1" w:default="1">
    <w:name w:val="Normal"/>
    <w:next w:val="641"/>
    <w:link w:val="641"/>
    <w:pPr>
      <w:ind w:left="0" w:right="0" w:firstLine="709"/>
      <w:jc w:val="both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styleId="642">
    <w:name w:val="Основной шрифт абзаца"/>
    <w:next w:val="642"/>
    <w:link w:val="641"/>
  </w:style>
  <w:style w:type="character" w:styleId="643">
    <w:name w:val="Верхний колонтитул Знак"/>
    <w:next w:val="643"/>
    <w:link w:val="641"/>
    <w:rPr>
      <w:sz w:val="28"/>
      <w:szCs w:val="28"/>
    </w:rPr>
  </w:style>
  <w:style w:type="character" w:styleId="644">
    <w:name w:val="Нижний колонтитул Знак"/>
    <w:next w:val="644"/>
    <w:link w:val="641"/>
    <w:rPr>
      <w:sz w:val="28"/>
      <w:szCs w:val="28"/>
    </w:rPr>
  </w:style>
  <w:style w:type="character" w:styleId="645">
    <w:name w:val="Интернет-ссылка"/>
    <w:next w:val="645"/>
    <w:link w:val="641"/>
    <w:rPr>
      <w:color w:val="0000ff"/>
      <w:u w:val="single"/>
    </w:rPr>
  </w:style>
  <w:style w:type="paragraph" w:styleId="646">
    <w:name w:val="Заголовок"/>
    <w:basedOn w:val="641"/>
    <w:next w:val="647"/>
    <w:link w:val="641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47">
    <w:name w:val="Основной текст"/>
    <w:basedOn w:val="641"/>
    <w:next w:val="647"/>
    <w:link w:val="641"/>
    <w:pPr>
      <w:spacing w:before="0" w:after="140" w:line="276" w:lineRule="auto"/>
    </w:pPr>
  </w:style>
  <w:style w:type="paragraph" w:styleId="648">
    <w:name w:val="Список"/>
    <w:basedOn w:val="647"/>
    <w:next w:val="648"/>
    <w:link w:val="641"/>
    <w:rPr>
      <w:rFonts w:ascii="PT Astra Serif" w:hAnsi="PT Astra Serif" w:cs="Noto Sans Devanagari"/>
    </w:rPr>
  </w:style>
  <w:style w:type="paragraph" w:styleId="649">
    <w:name w:val="Название"/>
    <w:basedOn w:val="641"/>
    <w:next w:val="649"/>
    <w:link w:val="641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50">
    <w:name w:val="Указатель"/>
    <w:basedOn w:val="641"/>
    <w:next w:val="650"/>
    <w:link w:val="641"/>
    <w:pPr>
      <w:suppressLineNumbers/>
    </w:pPr>
    <w:rPr>
      <w:rFonts w:ascii="PT Astra Serif" w:hAnsi="PT Astra Serif" w:cs="Noto Sans Devanagari"/>
    </w:rPr>
  </w:style>
  <w:style w:type="paragraph" w:styleId="651">
    <w:name w:val="LO-Normal"/>
    <w:next w:val="651"/>
    <w:link w:val="641"/>
    <w:pPr>
      <w:jc w:val="center"/>
      <w:spacing w:line="276" w:lineRule="auto"/>
      <w:widowControl w:val="off"/>
    </w:pPr>
    <w:rPr>
      <w:rFonts w:ascii="Times New Roman" w:hAnsi="Times New Roman" w:eastAsia="Times New Roman" w:cs="Times New Roman"/>
      <w:b/>
      <w:color w:val="auto"/>
      <w:sz w:val="20"/>
      <w:szCs w:val="20"/>
      <w:lang w:val="ru-RU" w:eastAsia="zh-CN" w:bidi="ar-SA"/>
    </w:rPr>
  </w:style>
  <w:style w:type="paragraph" w:styleId="652">
    <w:name w:val="Текст выноски"/>
    <w:basedOn w:val="641"/>
    <w:next w:val="652"/>
    <w:link w:val="641"/>
    <w:rPr>
      <w:rFonts w:ascii="Tahoma" w:hAnsi="Tahoma" w:cs="Tahoma"/>
      <w:sz w:val="16"/>
      <w:szCs w:val="16"/>
    </w:rPr>
  </w:style>
  <w:style w:type="paragraph" w:styleId="653">
    <w:name w:val="Верхний и нижний колонтитулы"/>
    <w:basedOn w:val="641"/>
    <w:next w:val="653"/>
    <w:link w:val="641"/>
    <w:pPr>
      <w:tabs>
        <w:tab w:val="center" w:pos="4819" w:leader="none"/>
        <w:tab w:val="right" w:pos="9638" w:leader="none"/>
      </w:tabs>
      <w:suppressLineNumbers/>
    </w:pPr>
  </w:style>
  <w:style w:type="paragraph" w:styleId="654">
    <w:name w:val="Верхний колонтитул"/>
    <w:basedOn w:val="641"/>
    <w:next w:val="654"/>
    <w:link w:val="641"/>
    <w:pPr>
      <w:tabs>
        <w:tab w:val="center" w:pos="4677" w:leader="none"/>
        <w:tab w:val="right" w:pos="9355" w:leader="none"/>
      </w:tabs>
    </w:pPr>
  </w:style>
  <w:style w:type="paragraph" w:styleId="655">
    <w:name w:val="Нижний колонтитул"/>
    <w:basedOn w:val="641"/>
    <w:next w:val="655"/>
    <w:link w:val="641"/>
    <w:pPr>
      <w:tabs>
        <w:tab w:val="center" w:pos="4677" w:leader="none"/>
        <w:tab w:val="right" w:pos="9355" w:leader="none"/>
      </w:tabs>
    </w:pPr>
  </w:style>
  <w:style w:type="paragraph" w:styleId="656">
    <w:name w:val="Содержимое таблицы"/>
    <w:basedOn w:val="641"/>
    <w:next w:val="656"/>
    <w:link w:val="641"/>
    <w:pPr>
      <w:widowControl w:val="off"/>
      <w:suppressLineNumbers/>
    </w:pPr>
  </w:style>
  <w:style w:type="paragraph" w:styleId="657">
    <w:name w:val="Заголовок таблицы"/>
    <w:basedOn w:val="656"/>
    <w:next w:val="657"/>
    <w:link w:val="641"/>
    <w:pPr>
      <w:jc w:val="center"/>
      <w:suppressLineNumbers/>
    </w:pPr>
    <w:rPr>
      <w:b/>
      <w:bCs/>
    </w:rPr>
  </w:style>
  <w:style w:type="character" w:styleId="802" w:default="1">
    <w:name w:val="Default Paragraph Font"/>
    <w:uiPriority w:val="1"/>
    <w:semiHidden/>
    <w:unhideWhenUsed/>
  </w:style>
  <w:style w:type="numbering" w:styleId="8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МИНЭКОНОМРАЗВИТИЯ  РОССИИ</dc:title>
  <dc:creator>Syrovatskaya</dc:creator>
  <cp:revision>44</cp:revision>
  <dcterms:created xsi:type="dcterms:W3CDTF">2023-12-28T06:14:00Z</dcterms:created>
  <dcterms:modified xsi:type="dcterms:W3CDTF">2024-09-12T13:00:20Z</dcterms:modified>
</cp:coreProperties>
</file>